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A998C" w14:textId="77777777" w:rsidR="009679E9" w:rsidRPr="00B266B0" w:rsidRDefault="009679E9" w:rsidP="009679E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166017">
        <w:rPr>
          <w:bCs/>
          <w:noProof w:val="0"/>
          <w:sz w:val="24"/>
          <w:szCs w:val="24"/>
        </w:rPr>
        <w:t>R2-1906826</w:t>
      </w:r>
    </w:p>
    <w:p w14:paraId="55613BB1" w14:textId="77777777" w:rsidR="009679E9" w:rsidRPr="00465587" w:rsidRDefault="009679E9" w:rsidP="009679E9">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r w:rsidRPr="00166017">
        <w:rPr>
          <w:rFonts w:eastAsia="SimSun"/>
          <w:i/>
          <w:noProof w:val="0"/>
          <w:sz w:val="24"/>
          <w:szCs w:val="24"/>
          <w:lang w:eastAsia="zh-CN"/>
        </w:rPr>
        <w:t>R2-1906826</w:t>
      </w:r>
    </w:p>
    <w:p w14:paraId="0E3BD91C" w14:textId="77777777" w:rsidR="009679E9" w:rsidRPr="00B266B0" w:rsidRDefault="009679E9" w:rsidP="009679E9">
      <w:pPr>
        <w:pStyle w:val="Header"/>
        <w:rPr>
          <w:bCs/>
          <w:noProof w:val="0"/>
          <w:sz w:val="24"/>
        </w:rPr>
      </w:pPr>
    </w:p>
    <w:p w14:paraId="2904B88D" w14:textId="77777777" w:rsidR="009679E9" w:rsidRPr="00B266B0" w:rsidRDefault="009679E9" w:rsidP="009679E9">
      <w:pPr>
        <w:pStyle w:val="Header"/>
        <w:rPr>
          <w:bCs/>
          <w:noProof w:val="0"/>
          <w:sz w:val="24"/>
        </w:rPr>
      </w:pPr>
    </w:p>
    <w:p w14:paraId="3528C799" w14:textId="77777777" w:rsidR="009679E9" w:rsidRPr="00B266B0" w:rsidRDefault="009679E9" w:rsidP="009679E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948EF">
        <w:rPr>
          <w:rFonts w:cs="Arial"/>
          <w:b/>
          <w:bCs/>
          <w:sz w:val="24"/>
          <w:lang w:eastAsia="ja-JP"/>
        </w:rPr>
        <w:t>11.4.6</w:t>
      </w:r>
    </w:p>
    <w:p w14:paraId="787E1245" w14:textId="77777777" w:rsidR="009679E9" w:rsidRPr="00B266B0" w:rsidRDefault="009679E9" w:rsidP="009679E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7948EF">
        <w:rPr>
          <w:rFonts w:ascii="Arial" w:hAnsi="Arial" w:cs="Arial"/>
          <w:b/>
          <w:bCs/>
          <w:sz w:val="24"/>
        </w:rPr>
        <w:t>Nokia, Nokia Shanghai Bell</w:t>
      </w:r>
    </w:p>
    <w:p w14:paraId="178FCB2B" w14:textId="77777777" w:rsidR="009679E9" w:rsidRDefault="009679E9" w:rsidP="009679E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Discussion on SA2’s LS reply on QoS and range</w:t>
      </w:r>
    </w:p>
    <w:p w14:paraId="0271EBE5" w14:textId="77777777" w:rsidR="009679E9" w:rsidRPr="00B266B0" w:rsidRDefault="009679E9" w:rsidP="009679E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7948EF">
        <w:rPr>
          <w:rFonts w:ascii="Arial" w:hAnsi="Arial" w:cs="Arial"/>
          <w:b/>
          <w:bCs/>
          <w:sz w:val="24"/>
        </w:rPr>
        <w:t xml:space="preserve">5G_V2X_NRSL-Core </w:t>
      </w:r>
      <w:r>
        <w:rPr>
          <w:rFonts w:ascii="Arial" w:hAnsi="Arial" w:cs="Arial"/>
          <w:b/>
          <w:bCs/>
          <w:sz w:val="24"/>
        </w:rPr>
        <w:t>- Release 16</w:t>
      </w:r>
    </w:p>
    <w:p w14:paraId="6773574D" w14:textId="77777777" w:rsidR="009679E9" w:rsidRPr="00B266B0" w:rsidRDefault="009679E9" w:rsidP="009679E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EE91E22" w14:textId="77777777" w:rsidR="009679E9" w:rsidRPr="006E13D1" w:rsidRDefault="009679E9" w:rsidP="009679E9">
      <w:pPr>
        <w:pStyle w:val="Heading1"/>
      </w:pPr>
      <w:r w:rsidRPr="006E13D1">
        <w:t>1</w:t>
      </w:r>
      <w:r w:rsidRPr="006E13D1">
        <w:tab/>
      </w:r>
      <w:r>
        <w:t>Introduction</w:t>
      </w:r>
    </w:p>
    <w:p w14:paraId="6035E42D" w14:textId="77777777" w:rsidR="009679E9" w:rsidRDefault="009679E9" w:rsidP="009679E9">
      <w:r>
        <w:t xml:space="preserve">In RAN2#105, the discussion on QoS concluded that the QoS flows were supported for both unicast, groupcast, and broadcast. Furthermore, the agreement was made that per-flow based QoS were preferred for unicast, and per-packet for groupcast, and broadcast, but that the final decision was up to SA2. The QoS parameters should amongst other </w:t>
      </w:r>
      <w:r w:rsidRPr="007A4EBC">
        <w:t xml:space="preserve">priority, latency, reliability, data rate and </w:t>
      </w:r>
      <w:r w:rsidRPr="007A4EBC">
        <w:rPr>
          <w:b/>
        </w:rPr>
        <w:t>minimum required communication r</w:t>
      </w:r>
      <w:r>
        <w:rPr>
          <w:b/>
        </w:rPr>
        <w:t>a</w:t>
      </w:r>
      <w:r w:rsidRPr="007A4EBC">
        <w:rPr>
          <w:b/>
        </w:rPr>
        <w:t>nge</w:t>
      </w:r>
      <w:r>
        <w:rPr>
          <w:b/>
        </w:rPr>
        <w:t xml:space="preserve"> </w:t>
      </w:r>
      <w:r>
        <w:t>(LS-1902494).</w:t>
      </w:r>
    </w:p>
    <w:p w14:paraId="0E7F8CC9" w14:textId="77777777" w:rsidR="009679E9" w:rsidRDefault="009679E9" w:rsidP="009679E9">
      <w:r>
        <w:t>This paper discusses the SA2 reply to the LS-1902494, on QoS profile and the range parameter.</w:t>
      </w:r>
    </w:p>
    <w:p w14:paraId="4E48A6DA" w14:textId="77777777" w:rsidR="009679E9" w:rsidRDefault="009679E9" w:rsidP="009679E9">
      <w:pPr>
        <w:pStyle w:val="Heading1"/>
      </w:pPr>
      <w:r w:rsidRPr="006E13D1">
        <w:t>2</w:t>
      </w:r>
      <w:r w:rsidRPr="006E13D1">
        <w:tab/>
      </w:r>
      <w:r>
        <w:t>The choice of QoS model for unicast, groupcast, and broadcast.</w:t>
      </w:r>
    </w:p>
    <w:p w14:paraId="5435DD00" w14:textId="77777777" w:rsidR="009679E9" w:rsidRDefault="009679E9" w:rsidP="009679E9">
      <w:r>
        <w:t xml:space="preserve">The process of mapping the QoS to the SLRB (pre-)configuration is similar for both unicast, groupcast, and broadcast. The difference is seen in the flow where unicast per-flow PC5 QoS flows are mapped to SLRB based on a set of rules using SL QoS flow ID, whereas for per-packet SLRB is mapped by PC5 QoS profile for the given packet. Although both approaches result in a mapped QoS requirements to a given packet type, V2X layer must apply them differently. </w:t>
      </w:r>
    </w:p>
    <w:p w14:paraId="316C20BE" w14:textId="77777777" w:rsidR="009679E9" w:rsidRDefault="009679E9" w:rsidP="009679E9">
      <w:r>
        <w:t>For SL unicast, the motivation for per-flow packet-based approach may enhance the QoS management, as one UE may inform the peer UE about the intended QoS, to ensure compliancy with interpretation of the flows PC5 QoS profile. For SL groupcast and broadcast, it has been argued that it might be a challenge for such handshaking to take place, and the receiving UE might not have same interpretation of the QoS. Preconfigured QoS profiles addresses this issue, enabling the transmitter, and peer UE to have the same interpretation of the QoS.</w:t>
      </w:r>
    </w:p>
    <w:p w14:paraId="1C30E767" w14:textId="77777777" w:rsidR="009679E9" w:rsidRDefault="009679E9" w:rsidP="009679E9">
      <w:r w:rsidRPr="00E74EEC">
        <w:rPr>
          <w:b/>
        </w:rPr>
        <w:t xml:space="preserve">Observation 1: </w:t>
      </w:r>
      <w:r>
        <w:t>It is possible to use per-flow based QoS profile for SL groupcast/broadcast using i.e. preconfigured QoS profiles.</w:t>
      </w:r>
    </w:p>
    <w:p w14:paraId="1B2A0DBF" w14:textId="77777777" w:rsidR="009679E9" w:rsidRDefault="009679E9" w:rsidP="009679E9">
      <w:r>
        <w:t xml:space="preserve">Allowing multiple QoS flows to be mapped to the same radio bearer in NR Uu, in contrary to the LTE Uu, will result in a significant number of configurations, as NR SL has defined 28 </w:t>
      </w:r>
      <w:sdt>
        <w:sdtPr>
          <w:id w:val="-204720919"/>
          <w:citation/>
        </w:sdtPr>
        <w:sdtContent>
          <w:r>
            <w:fldChar w:fldCharType="begin"/>
          </w:r>
          <w:r w:rsidRPr="00BA079B">
            <w:rPr>
              <w:lang w:val="en-US"/>
            </w:rPr>
            <w:instrText xml:space="preserve"> CITATION 3GP18 \l 1030 </w:instrText>
          </w:r>
          <w:r>
            <w:fldChar w:fldCharType="separate"/>
          </w:r>
          <w:r w:rsidRPr="000077CD">
            <w:rPr>
              <w:noProof/>
              <w:lang w:val="en-US"/>
            </w:rPr>
            <w:t>[1]</w:t>
          </w:r>
          <w:r>
            <w:fldChar w:fldCharType="end"/>
          </w:r>
        </w:sdtContent>
      </w:sdt>
      <w:r>
        <w:t xml:space="preserve"> use cases with potential different QoS requirements. Taking this into account, combining per-packet and per-flow based QoS mappings, will significantly increase system complexity.</w:t>
      </w:r>
    </w:p>
    <w:p w14:paraId="375E1C1F" w14:textId="77777777" w:rsidR="009679E9" w:rsidRDefault="009679E9" w:rsidP="009679E9">
      <w:r w:rsidRPr="00E74EEC">
        <w:rPr>
          <w:b/>
        </w:rPr>
        <w:t>Observation 2:</w:t>
      </w:r>
      <w:r>
        <w:t xml:space="preserve"> The high configurability in V2X combined with supporting multiple QoS flow models will increase implementation complexity.</w:t>
      </w:r>
    </w:p>
    <w:p w14:paraId="3069B2E5" w14:textId="77777777" w:rsidR="009679E9" w:rsidRDefault="009679E9" w:rsidP="009679E9">
      <w:r>
        <w:t>Taking the above observations into account together with the LS reply from SA2#132</w:t>
      </w:r>
      <w:sdt>
        <w:sdtPr>
          <w:id w:val="1090130926"/>
          <w:citation/>
        </w:sdtPr>
        <w:sdtContent>
          <w:r>
            <w:fldChar w:fldCharType="begin"/>
          </w:r>
          <w:r>
            <w:rPr>
              <w:lang w:val="en-US"/>
            </w:rPr>
            <w:instrText xml:space="preserve">CITATION 3GP19 \l 1030 </w:instrText>
          </w:r>
          <w:r>
            <w:fldChar w:fldCharType="separate"/>
          </w:r>
          <w:r>
            <w:rPr>
              <w:noProof/>
              <w:lang w:val="en-US"/>
            </w:rPr>
            <w:t xml:space="preserve"> </w:t>
          </w:r>
          <w:r w:rsidRPr="000077CD">
            <w:rPr>
              <w:noProof/>
              <w:lang w:val="en-US"/>
            </w:rPr>
            <w:t>[2]</w:t>
          </w:r>
          <w:r>
            <w:fldChar w:fldCharType="end"/>
          </w:r>
        </w:sdtContent>
      </w:sdt>
      <w:r>
        <w:t>, we suggest to follow SA2s guidance on the use of per-flow based QoS as a unified approach.</w:t>
      </w:r>
    </w:p>
    <w:p w14:paraId="6200C8AA" w14:textId="77777777" w:rsidR="009679E9" w:rsidRDefault="009679E9" w:rsidP="009679E9">
      <w:pPr>
        <w:jc w:val="center"/>
      </w:pPr>
      <w:r>
        <w:rPr>
          <w:noProof/>
        </w:rPr>
        <mc:AlternateContent>
          <mc:Choice Requires="wps">
            <w:drawing>
              <wp:inline distT="0" distB="0" distL="0" distR="0" wp14:anchorId="2C170E6C" wp14:editId="0B9103F4">
                <wp:extent cx="5611090" cy="1404620"/>
                <wp:effectExtent l="0" t="0" r="2794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1090" cy="1404620"/>
                        </a:xfrm>
                        <a:prstGeom prst="rect">
                          <a:avLst/>
                        </a:prstGeom>
                        <a:solidFill>
                          <a:srgbClr val="FFFFFF"/>
                        </a:solidFill>
                        <a:ln w="9525">
                          <a:solidFill>
                            <a:srgbClr val="000000"/>
                          </a:solidFill>
                          <a:miter lim="800000"/>
                          <a:headEnd/>
                          <a:tailEnd/>
                        </a:ln>
                      </wps:spPr>
                      <wps:txbx>
                        <w:txbxContent>
                          <w:p w14:paraId="04E87A9B" w14:textId="77777777" w:rsidR="009679E9" w:rsidRPr="00151961" w:rsidRDefault="009679E9" w:rsidP="009679E9">
                            <w:pPr>
                              <w:jc w:val="center"/>
                              <w:rPr>
                                <w:rFonts w:ascii="Arial" w:hAnsi="Arial" w:cs="Arial"/>
                                <w:lang w:val="en-US"/>
                              </w:rPr>
                            </w:pPr>
                            <w:r w:rsidRPr="00151961">
                              <w:rPr>
                                <w:rFonts w:ascii="Arial" w:hAnsi="Arial" w:cs="Arial"/>
                              </w:rPr>
                              <w:t>unicast, groupcast and broadcast operations (please see the attached S2-1904426). SA2 believes that a single PC5 QoS model for all NR sidelink cast type aligned with the Uu QoS model simplifies the overall system behavior. SA2 kindly requests RAN2 to take this information into account in their work.</w:t>
                            </w:r>
                          </w:p>
                        </w:txbxContent>
                      </wps:txbx>
                      <wps:bodyPr rot="0" vert="horz" wrap="square" lIns="91440" tIns="45720" rIns="91440" bIns="45720" anchor="t" anchorCtr="0">
                        <a:spAutoFit/>
                      </wps:bodyPr>
                    </wps:wsp>
                  </a:graphicData>
                </a:graphic>
              </wp:inline>
            </w:drawing>
          </mc:Choice>
          <mc:Fallback>
            <w:pict>
              <v:shapetype w14:anchorId="2C170E6C" id="_x0000_t202" coordsize="21600,21600" o:spt="202" path="m,l,21600r21600,l21600,xe">
                <v:stroke joinstyle="miter"/>
                <v:path gradientshapeok="t" o:connecttype="rect"/>
              </v:shapetype>
              <v:shape id="Text Box 2" o:spid="_x0000_s1026" type="#_x0000_t202" style="width:44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PVHJwIAAE4EAAAOAAAAZHJzL2Uyb0RvYy54bWysVNuO0zAQfUfiHyy/0yRV291GTVdLlyKk&#10;5SLt8gETx2ksfMN2m5SvZ+y0pVrgBZEHy+MZH8+cM5PV3aAkOXDnhdEVLSY5JVwz0wi9q+jX5+2b&#10;W0p8AN2ANJpX9Mg9vVu/frXqbcmnpjOy4Y4giPZlbyvahWDLLPOs4wr8xFiu0dkapyCg6XZZ46BH&#10;dCWzaZ4vst64xjrDuPd4+jA66Trhty1n4XPbeh6IrCjmFtLq0lrHNVuvoNw5sJ1gpzTgH7JQIDQ+&#10;eoF6gABk78RvUEowZ7xpw4QZlZm2FYynGrCaIn9RzVMHlqdakBxvLzT5/wfLPh2+OCKaik6LG0o0&#10;KBTpmQ+BvDUDmUZ+eutLDHuyGBgGPEadU63ePhr2zRNtNh3oHb93zvQdhwbzK+LN7OrqiOMjSN1/&#10;NA0+A/tgEtDQOhXJQzoIoqNOx4s2MRWGh/NFUeRLdDH0FbN8tpgm9TIoz9et8+E9N4rETUUdip/g&#10;4fDoQ0wHynNIfM0bKZqtkDIZbldvpCMHwEbZpi9V8CJMatJXdDmfzkcG/gqRp+9PEEoE7HgpVEVv&#10;L0FQRt7e6Sb1YwAhxz2mLPWJyMjdyGIY6mHU7KxPbZojMuvM2OA4kLjpjPtBSY/NXVH/fQ+OUyI/&#10;aFRnWcxmcRqSMZvfIJXEXXvqaw9ohlAVDZSM201IE5R4s/eo4lYkfqPcYyanlLFpE+2nAYtTcW2n&#10;qF+/gfVPAAAA//8DAFBLAwQUAAYACAAAACEAZohPAdwAAAAFAQAADwAAAGRycy9kb3ducmV2Lnht&#10;bEyPwW7CMBBE75X4B2uRuBWHVEVRGgdVIM6lFKnqzbGXOCJeh9iEwNfX7aW9rDSa0czbYjXalg3Y&#10;+8aRgMU8AYaknG6oFnD42D5mwHyQpGXrCAXc0MOqnDwUMtfuSu847EPNYgn5XAowIXQ5514ZtNLP&#10;XYcUvaPrrQxR9jXXvbzGctvyNEmW3MqG4oKRHa4NqtP+YgX4ze7cqeOuOhl9u79thmf1uf0SYjYd&#10;X1+ABRzDXxh+8CM6lJGpchfSnrUC4iPh90Yvy56WwCoBabpIgZcF/09ffgMAAP//AwBQSwECLQAU&#10;AAYACAAAACEAtoM4kv4AAADhAQAAEwAAAAAAAAAAAAAAAAAAAAAAW0NvbnRlbnRfVHlwZXNdLnht&#10;bFBLAQItABQABgAIAAAAIQA4/SH/1gAAAJQBAAALAAAAAAAAAAAAAAAAAC8BAABfcmVscy8ucmVs&#10;c1BLAQItABQABgAIAAAAIQCiPPVHJwIAAE4EAAAOAAAAAAAAAAAAAAAAAC4CAABkcnMvZTJvRG9j&#10;LnhtbFBLAQItABQABgAIAAAAIQBmiE8B3AAAAAUBAAAPAAAAAAAAAAAAAAAAAIEEAABkcnMvZG93&#10;bnJldi54bWxQSwUGAAAAAAQABADzAAAAigUAAAAA&#10;">
                <v:textbox style="mso-fit-shape-to-text:t">
                  <w:txbxContent>
                    <w:p w14:paraId="04E87A9B" w14:textId="77777777" w:rsidR="009679E9" w:rsidRPr="00151961" w:rsidRDefault="009679E9" w:rsidP="009679E9">
                      <w:pPr>
                        <w:jc w:val="center"/>
                        <w:rPr>
                          <w:rFonts w:ascii="Arial" w:hAnsi="Arial" w:cs="Arial"/>
                          <w:lang w:val="en-US"/>
                        </w:rPr>
                      </w:pPr>
                      <w:r w:rsidRPr="00151961">
                        <w:rPr>
                          <w:rFonts w:ascii="Arial" w:hAnsi="Arial" w:cs="Arial"/>
                        </w:rPr>
                        <w:t>unicast, groupcast and broadcast operations (please see the attached S2-1904426). SA2 believes that a single PC5 QoS model for all NR sidelink cast type aligned with the Uu QoS model simplifies the overall system behavior. SA2 kindly requests RAN2 to take this information into account in their work.</w:t>
                      </w:r>
                    </w:p>
                  </w:txbxContent>
                </v:textbox>
                <w10:anchorlock/>
              </v:shape>
            </w:pict>
          </mc:Fallback>
        </mc:AlternateContent>
      </w:r>
    </w:p>
    <w:p w14:paraId="531F1AEB" w14:textId="77777777" w:rsidR="009679E9" w:rsidRDefault="009679E9" w:rsidP="009679E9">
      <w:r w:rsidRPr="00E74EEC">
        <w:rPr>
          <w:b/>
        </w:rPr>
        <w:t>Observation 3:</w:t>
      </w:r>
      <w:r>
        <w:t xml:space="preserve"> SA2 prefers a unified approach to map QOS to the SLRB configuration.</w:t>
      </w:r>
    </w:p>
    <w:p w14:paraId="6B587831" w14:textId="77777777" w:rsidR="009679E9" w:rsidRDefault="009679E9" w:rsidP="009679E9">
      <w:r w:rsidRPr="00E74EEC">
        <w:rPr>
          <w:b/>
        </w:rPr>
        <w:lastRenderedPageBreak/>
        <w:t>Proposal 1:</w:t>
      </w:r>
      <w:r>
        <w:t xml:space="preserve"> RAN2 to follow SA2s guidance on using per-flow based QoS profiles to be supported in SL unicast/groupcast/broadcast.</w:t>
      </w:r>
    </w:p>
    <w:p w14:paraId="3C07F34D" w14:textId="77777777" w:rsidR="009679E9" w:rsidRPr="006E13D1" w:rsidRDefault="009679E9" w:rsidP="009679E9"/>
    <w:p w14:paraId="180DA26C" w14:textId="77777777" w:rsidR="009679E9" w:rsidRPr="006E13D1" w:rsidRDefault="009679E9" w:rsidP="009679E9">
      <w:pPr>
        <w:pStyle w:val="Heading1"/>
      </w:pPr>
      <w:r w:rsidRPr="006E13D1">
        <w:t>3</w:t>
      </w:r>
      <w:r w:rsidRPr="006E13D1">
        <w:tab/>
      </w:r>
      <w:r>
        <w:t>On the range QoS property</w:t>
      </w:r>
    </w:p>
    <w:p w14:paraId="5E1CCDB8" w14:textId="77777777" w:rsidR="009679E9" w:rsidRDefault="009679E9" w:rsidP="009679E9">
      <w:r>
        <w:t>SA2 has discussed on the range parameter, and mentions indicating the applicability of the PC5 QoS parameters in PC5 communication</w:t>
      </w:r>
      <w:sdt>
        <w:sdtPr>
          <w:id w:val="208773013"/>
          <w:citation/>
        </w:sdtPr>
        <w:sdtContent>
          <w:r>
            <w:fldChar w:fldCharType="begin"/>
          </w:r>
          <w:r w:rsidRPr="0089327B">
            <w:rPr>
              <w:lang w:val="en-US"/>
            </w:rPr>
            <w:instrText xml:space="preserve"> CITATION 3GP19 \l 1030 </w:instrText>
          </w:r>
          <w:r>
            <w:fldChar w:fldCharType="separate"/>
          </w:r>
          <w:r>
            <w:rPr>
              <w:noProof/>
              <w:lang w:val="en-US"/>
            </w:rPr>
            <w:t xml:space="preserve"> </w:t>
          </w:r>
          <w:r w:rsidRPr="000077CD">
            <w:rPr>
              <w:noProof/>
              <w:lang w:val="en-US"/>
            </w:rPr>
            <w:t>[2]</w:t>
          </w:r>
          <w:r>
            <w:fldChar w:fldCharType="end"/>
          </w:r>
        </w:sdtContent>
      </w:sdt>
      <w:r>
        <w:t>.</w:t>
      </w:r>
    </w:p>
    <w:p w14:paraId="120CE66F" w14:textId="77777777" w:rsidR="009679E9" w:rsidRDefault="009679E9" w:rsidP="009679E9">
      <w:pPr>
        <w:jc w:val="center"/>
      </w:pPr>
      <w:r>
        <w:rPr>
          <w:noProof/>
        </w:rPr>
        <mc:AlternateContent>
          <mc:Choice Requires="wps">
            <w:drawing>
              <wp:inline distT="0" distB="0" distL="0" distR="0" wp14:anchorId="55515C64" wp14:editId="2D523D60">
                <wp:extent cx="5751830" cy="1404620"/>
                <wp:effectExtent l="0" t="0" r="2032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1830" cy="1404620"/>
                        </a:xfrm>
                        <a:prstGeom prst="rect">
                          <a:avLst/>
                        </a:prstGeom>
                        <a:solidFill>
                          <a:srgbClr val="FFFFFF"/>
                        </a:solidFill>
                        <a:ln w="9525">
                          <a:solidFill>
                            <a:srgbClr val="000000"/>
                          </a:solidFill>
                          <a:miter lim="800000"/>
                          <a:headEnd/>
                          <a:tailEnd/>
                        </a:ln>
                      </wps:spPr>
                      <wps:txbx>
                        <w:txbxContent>
                          <w:p w14:paraId="65B43358" w14:textId="77777777" w:rsidR="009679E9" w:rsidRDefault="009679E9" w:rsidP="009679E9">
                            <w:pPr>
                              <w:jc w:val="center"/>
                              <w:rPr>
                                <w:rFonts w:ascii="Arial" w:eastAsia="SimSun" w:hAnsi="Arial" w:cs="Arial"/>
                                <w:lang w:eastAsia="zh-CN"/>
                              </w:rPr>
                            </w:pPr>
                            <w:r w:rsidRPr="00315788">
                              <w:rPr>
                                <w:rFonts w:ascii="Arial" w:eastAsia="SimSun" w:hAnsi="Arial" w:cs="Arial"/>
                                <w:lang w:eastAsia="zh-CN"/>
                              </w:rPr>
                              <w:t>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to achieve the QoS guarantee indicated by PC5 QoS parameters.</w:t>
                            </w:r>
                          </w:p>
                          <w:p w14:paraId="4D22A929" w14:textId="77777777" w:rsidR="009679E9" w:rsidRPr="00315788" w:rsidRDefault="009679E9" w:rsidP="009679E9">
                            <w:pPr>
                              <w:jc w:val="center"/>
                              <w:rPr>
                                <w:rFonts w:ascii="Arial" w:hAnsi="Arial" w:cs="Arial"/>
                                <w:lang w:val="en-US"/>
                              </w:rPr>
                            </w:pPr>
                            <w:r w:rsidRPr="00315788">
                              <w:rPr>
                                <w:rFonts w:ascii="Arial" w:hAnsi="Arial" w:cs="Arial"/>
                                <w:lang w:val="en-US"/>
                              </w:rPr>
                              <w:t xml:space="preserve">Range is in the unit of meters. UE is configured with the maximum Range value it can use for a particular V2X service. A V2X service may choose to use a lower range value. </w:t>
                            </w:r>
                          </w:p>
                          <w:p w14:paraId="45C05CD7" w14:textId="77777777" w:rsidR="009679E9" w:rsidRPr="00315788" w:rsidRDefault="009679E9" w:rsidP="009679E9">
                            <w:pPr>
                              <w:jc w:val="center"/>
                              <w:rPr>
                                <w:rFonts w:ascii="Arial" w:hAnsi="Arial" w:cs="Arial"/>
                                <w:lang w:val="en-US"/>
                              </w:rPr>
                            </w:pPr>
                            <w:r w:rsidRPr="00315788">
                              <w:rPr>
                                <w:rFonts w:ascii="Arial" w:hAnsi="Arial" w:cs="Arial"/>
                                <w:lang w:val="en-US"/>
                              </w:rPr>
                              <w:t>Range is only used for unicast and groupcast communication over PC5 reference point.”</w:t>
                            </w:r>
                          </w:p>
                        </w:txbxContent>
                      </wps:txbx>
                      <wps:bodyPr rot="0" vert="horz" wrap="square" lIns="91440" tIns="45720" rIns="91440" bIns="45720" anchor="t" anchorCtr="0">
                        <a:spAutoFit/>
                      </wps:bodyPr>
                    </wps:wsp>
                  </a:graphicData>
                </a:graphic>
              </wp:inline>
            </w:drawing>
          </mc:Choice>
          <mc:Fallback>
            <w:pict>
              <v:shape w14:anchorId="55515C64" id="_x0000_s1027" type="#_x0000_t202" style="width:452.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yaTJgIAAEwEAAAOAAAAZHJzL2Uyb0RvYy54bWysVNtu2zAMfR+wfxD0vviypE2NOEWXLsOA&#10;7gK0+wBZlmNhkqhJSuzu60fJaRp028swPwiiSB0dHpJeXY9akYNwXoKpaTHLKRGGQyvNrqbfHrZv&#10;lpT4wEzLFBhR00fh6fX69avVYCtRQg+qFY4giPHVYGvah2CrLPO8F5r5GVhh0NmB0yyg6XZZ69iA&#10;6FplZZ5fZAO41jrgwns8vZ2cdJ3wu07w8KXrvAhE1RS5hbS6tDZxzdYrVu0cs73kRxrsH1hoJg0+&#10;eoK6ZYGRvZO/QWnJHXjowoyDzqDrJBcpB8ymyF9kc98zK1IuKI63J5n8/4Plnw9fHZFtTUtKDNNY&#10;ogcxBvIORlJGdQbrKwy6txgWRjzGKqdMvb0D/t0TA5uemZ24cQ6GXrAW2RXxZnZ2dcLxEaQZPkGL&#10;z7B9gAQ0dk5H6VAMguhYpcdTZSIVjoeLy0WxfIsujr5ins8vylS7jFVP163z4YMATeKmpg5Ln+DZ&#10;4c6HSIdVTyHxNQ9KtlupVDLcrtkoRw4M22SbvpTBizBlyFDTq0W5mBT4K0Sevj9BaBmw35XUNV2e&#10;glgVdXtv2tSNgUk17ZGyMkcho3aTimFsxlSxpHIUuYH2EZV1MLU3jiNuenA/KRmwtWvqf+yZE5So&#10;jwarc1XM53EWkjFfXKKUxJ17mnMPMxyhahoombabkOYn6WZvsIpbmfR9ZnKkjC2bZD+OV5yJcztF&#10;Pf8E1r8AAAD//wMAUEsDBBQABgAIAAAAIQCJSKyu2wAAAAUBAAAPAAAAZHJzL2Rvd25yZXYueG1s&#10;TI/BTsMwEETvSPyDtUjcqNNIRRDiVIiqZ0pBQtwcextHjdchdtOUr2fbC1xGWs1q5k25nHwnRhxi&#10;G0jBfJaBQDLBttQo+Hhf3z2AiEmT1V0gVHDCCMvq+qrUhQ1HesNxmxrBIRQLrcCl1BdSRuPQ6zgL&#10;PRJ7uzB4nfgcGmkHfeRw38k8y+6l1y1xg9M9vjg0++3BK4irzXdvdpt67+zp53U1Lszn+kup25vp&#10;+QlEwin9PcMZn9GhYqY6HMhG0SngIemi7D1mC55RK8jzeQ6yKuV/+uoXAAD//wMAUEsBAi0AFAAG&#10;AAgAAAAhALaDOJL+AAAA4QEAABMAAAAAAAAAAAAAAAAAAAAAAFtDb250ZW50X1R5cGVzXS54bWxQ&#10;SwECLQAUAAYACAAAACEAOP0h/9YAAACUAQAACwAAAAAAAAAAAAAAAAAvAQAAX3JlbHMvLnJlbHNQ&#10;SwECLQAUAAYACAAAACEAYOMmkyYCAABMBAAADgAAAAAAAAAAAAAAAAAuAgAAZHJzL2Uyb0RvYy54&#10;bWxQSwECLQAUAAYACAAAACEAiUisrtsAAAAFAQAADwAAAAAAAAAAAAAAAACABAAAZHJzL2Rvd25y&#10;ZXYueG1sUEsFBgAAAAAEAAQA8wAAAIgFAAAAAA==&#10;">
                <v:textbox style="mso-fit-shape-to-text:t">
                  <w:txbxContent>
                    <w:p w14:paraId="65B43358" w14:textId="77777777" w:rsidR="009679E9" w:rsidRDefault="009679E9" w:rsidP="009679E9">
                      <w:pPr>
                        <w:jc w:val="center"/>
                        <w:rPr>
                          <w:rFonts w:ascii="Arial" w:eastAsia="SimSun" w:hAnsi="Arial" w:cs="Arial"/>
                          <w:lang w:eastAsia="zh-CN"/>
                        </w:rPr>
                      </w:pPr>
                      <w:r w:rsidRPr="00315788">
                        <w:rPr>
                          <w:rFonts w:ascii="Arial" w:eastAsia="SimSun" w:hAnsi="Arial" w:cs="Arial"/>
                          <w:lang w:eastAsia="zh-CN"/>
                        </w:rPr>
                        <w:t>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to achieve the QoS guarantee indicated by PC5 QoS parameters.</w:t>
                      </w:r>
                    </w:p>
                    <w:p w14:paraId="4D22A929" w14:textId="77777777" w:rsidR="009679E9" w:rsidRPr="00315788" w:rsidRDefault="009679E9" w:rsidP="009679E9">
                      <w:pPr>
                        <w:jc w:val="center"/>
                        <w:rPr>
                          <w:rFonts w:ascii="Arial" w:hAnsi="Arial" w:cs="Arial"/>
                          <w:lang w:val="en-US"/>
                        </w:rPr>
                      </w:pPr>
                      <w:r w:rsidRPr="00315788">
                        <w:rPr>
                          <w:rFonts w:ascii="Arial" w:hAnsi="Arial" w:cs="Arial"/>
                          <w:lang w:val="en-US"/>
                        </w:rPr>
                        <w:t xml:space="preserve">Range is in the unit of meters. UE is configured with the maximum Range value it can use for a particular V2X service. A V2X service may choose to use a lower range value. </w:t>
                      </w:r>
                    </w:p>
                    <w:p w14:paraId="45C05CD7" w14:textId="77777777" w:rsidR="009679E9" w:rsidRPr="00315788" w:rsidRDefault="009679E9" w:rsidP="009679E9">
                      <w:pPr>
                        <w:jc w:val="center"/>
                        <w:rPr>
                          <w:rFonts w:ascii="Arial" w:hAnsi="Arial" w:cs="Arial"/>
                          <w:lang w:val="en-US"/>
                        </w:rPr>
                      </w:pPr>
                      <w:r w:rsidRPr="00315788">
                        <w:rPr>
                          <w:rFonts w:ascii="Arial" w:hAnsi="Arial" w:cs="Arial"/>
                          <w:lang w:val="en-US"/>
                        </w:rPr>
                        <w:t>Range is only used for unicast and groupcast communication over PC5 reference point.”</w:t>
                      </w:r>
                    </w:p>
                  </w:txbxContent>
                </v:textbox>
                <w10:anchorlock/>
              </v:shape>
            </w:pict>
          </mc:Fallback>
        </mc:AlternateContent>
      </w:r>
    </w:p>
    <w:p w14:paraId="13F0FAF5" w14:textId="77777777" w:rsidR="009679E9" w:rsidRDefault="009679E9" w:rsidP="009679E9">
      <w:r>
        <w:t xml:space="preserve">In the SA2 reply </w:t>
      </w:r>
      <w:sdt>
        <w:sdtPr>
          <w:id w:val="-1930337635"/>
          <w:citation/>
        </w:sdtPr>
        <w:sdtContent>
          <w:r>
            <w:fldChar w:fldCharType="begin"/>
          </w:r>
          <w:r>
            <w:rPr>
              <w:lang w:val="en-US"/>
            </w:rPr>
            <w:instrText xml:space="preserve">CITATION 3GP19 \l 1030 </w:instrText>
          </w:r>
          <w:r>
            <w:fldChar w:fldCharType="separate"/>
          </w:r>
          <w:r w:rsidRPr="000077CD">
            <w:rPr>
              <w:noProof/>
              <w:lang w:val="en-US"/>
            </w:rPr>
            <w:t>[2]</w:t>
          </w:r>
          <w:r>
            <w:fldChar w:fldCharType="end"/>
          </w:r>
        </w:sdtContent>
      </w:sdt>
      <w:r>
        <w:t>to the LS on QoS and range</w:t>
      </w:r>
      <w:sdt>
        <w:sdtPr>
          <w:id w:val="-731926455"/>
          <w:citation/>
        </w:sdtPr>
        <w:sdtContent>
          <w:r>
            <w:fldChar w:fldCharType="begin"/>
          </w:r>
          <w:r w:rsidRPr="008C5C6F">
            <w:rPr>
              <w:lang w:val="en-US"/>
            </w:rPr>
            <w:instrText xml:space="preserve"> CITATION 3GP191 \l 1030 </w:instrText>
          </w:r>
          <w:r>
            <w:fldChar w:fldCharType="separate"/>
          </w:r>
          <w:r>
            <w:rPr>
              <w:noProof/>
              <w:lang w:val="en-US"/>
            </w:rPr>
            <w:t xml:space="preserve"> </w:t>
          </w:r>
          <w:r w:rsidRPr="000077CD">
            <w:rPr>
              <w:noProof/>
              <w:lang w:val="en-US"/>
            </w:rPr>
            <w:t>[3]</w:t>
          </w:r>
          <w:r>
            <w:fldChar w:fldCharType="end"/>
          </w:r>
        </w:sdtContent>
      </w:sdt>
      <w:r>
        <w:t>, requests feedback on the range parameter.</w:t>
      </w:r>
    </w:p>
    <w:p w14:paraId="1ED8392F" w14:textId="77777777" w:rsidR="009679E9" w:rsidRPr="0089327B" w:rsidRDefault="009679E9" w:rsidP="009679E9">
      <w:pPr>
        <w:jc w:val="center"/>
      </w:pPr>
      <w:r>
        <w:rPr>
          <w:noProof/>
        </w:rPr>
        <mc:AlternateContent>
          <mc:Choice Requires="wps">
            <w:drawing>
              <wp:inline distT="0" distB="0" distL="0" distR="0" wp14:anchorId="47094592" wp14:editId="49BEC6A2">
                <wp:extent cx="5508386" cy="1404620"/>
                <wp:effectExtent l="0" t="0" r="16510"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8386" cy="1404620"/>
                        </a:xfrm>
                        <a:prstGeom prst="rect">
                          <a:avLst/>
                        </a:prstGeom>
                        <a:solidFill>
                          <a:srgbClr val="FFFFFF"/>
                        </a:solidFill>
                        <a:ln w="9525">
                          <a:solidFill>
                            <a:srgbClr val="000000"/>
                          </a:solidFill>
                          <a:miter lim="800000"/>
                          <a:headEnd/>
                          <a:tailEnd/>
                        </a:ln>
                      </wps:spPr>
                      <wps:txbx>
                        <w:txbxContent>
                          <w:p w14:paraId="7FB680DD" w14:textId="77777777" w:rsidR="009679E9" w:rsidRPr="006242BF" w:rsidRDefault="009679E9" w:rsidP="009679E9">
                            <w:pPr>
                              <w:jc w:val="center"/>
                              <w:rPr>
                                <w:lang w:val="en-US"/>
                              </w:rPr>
                            </w:pPr>
                            <w:r>
                              <w:rPr>
                                <w:rFonts w:ascii="Arial" w:eastAsia="SimSun" w:hAnsi="Arial" w:cs="Arial"/>
                                <w:lang w:eastAsia="zh-CN"/>
                              </w:rPr>
                              <w:t>SA2 would like RAN1 and RAN2 to provide feedback on the above description as well as if they can provide additional information on the use of the Range parameter in order for SA2 to progress the work.</w:t>
                            </w:r>
                          </w:p>
                        </w:txbxContent>
                      </wps:txbx>
                      <wps:bodyPr rot="0" vert="horz" wrap="square" lIns="91440" tIns="45720" rIns="91440" bIns="45720" anchor="t" anchorCtr="0">
                        <a:spAutoFit/>
                      </wps:bodyPr>
                    </wps:wsp>
                  </a:graphicData>
                </a:graphic>
              </wp:inline>
            </w:drawing>
          </mc:Choice>
          <mc:Fallback>
            <w:pict>
              <v:shape w14:anchorId="47094592" id="_x0000_s1028" type="#_x0000_t202" style="width:433.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7YvJAIAAEUEAAAOAAAAZHJzL2Uyb0RvYy54bWysU9uO0zAQfUfiHyy/06SlLd2o6WrpUoS0&#10;XKRdPmDqOI2F7Qm226R8PWOnWyLgCZEHy/aMT86cM7O+7Y1mJ+m8Qlvy6STnTFqBlbKHkn992r1a&#10;ceYD2Ao0Wlnys/T8dvPyxbprCznDBnUlHSMQ64uuLXkTQltkmReNNOAn2EpLwRqdgUBHd8gqBx2h&#10;G53N8nyZdeiq1qGQ3tPt/RDkm4Rf11KEz3XtZWC65MQtpNWldR/XbLOG4uCgbZS40IB/YGFAWfrp&#10;FeoeArCjU39AGSUceqzDRKDJsK6VkKkGqmaa/1bNYwOtTLWQOL69yuT/H6z4dPrimKrIO84sGLLo&#10;SfaBvcWezaI6XesLSnpsKS30dB0zY6W+fUDxzTOL2wbsQd45h10joSJ20/gyGz0dcHwE2XcfsaLf&#10;wDFgAuprZyIgicEInVw6X52JVARdLhb56vVqyZmg2HSez5ez5F0GxfPz1vnwXqJhcVNyR9YneDg9&#10;+BDpQPGckuijVtVOaZ0O7rDfasdOQG2yS1+qgKocp2nLupLfLGaLQYFxzI8h8vT9DcKoQP2ulSn5&#10;6poERdTtna1SNwZQetgTZW0vQkbtBhVDv+8vxuyxOpOkDoe+pjmkTYPuB2cd9XTJ/fcjOMmZ/mDJ&#10;lpvpfB6HIB3mizekIXPjyH4cASsIquSBs2G7DWlwBvPvyL6dSsJGnwcmF67Uq0nvy1zFYRifU9av&#10;6d/8BAAA//8DAFBLAwQUAAYACAAAACEAobnL5dwAAAAFAQAADwAAAGRycy9kb3ducmV2LnhtbEyP&#10;wU7DMBBE70j8g7VI3KjTSC1ViFMhqp4pBQlxc+xtHDVeh9hNU76ehQtcVhrNaOZtuZ58J0YcYhtI&#10;wXyWgUAywbbUKHh73d6tQMSkyeouECq4YIR1dX1V6sKGM73guE+N4BKKhVbgUuoLKaNx6HWchR6J&#10;vUMYvE4sh0baQZ+53Hcyz7Kl9LolXnC6xyeH5rg/eQVxs/vszWFXH529fD1vxoV5334odXszPT6A&#10;SDilvzD84DM6VMxUhxPZKDoF/Ej6veytlvcLELWCPJ/nIKtS/qevvgEAAP//AwBQSwECLQAUAAYA&#10;CAAAACEAtoM4kv4AAADhAQAAEwAAAAAAAAAAAAAAAAAAAAAAW0NvbnRlbnRfVHlwZXNdLnhtbFBL&#10;AQItABQABgAIAAAAIQA4/SH/1gAAAJQBAAALAAAAAAAAAAAAAAAAAC8BAABfcmVscy8ucmVsc1BL&#10;AQItABQABgAIAAAAIQCdh7YvJAIAAEUEAAAOAAAAAAAAAAAAAAAAAC4CAABkcnMvZTJvRG9jLnht&#10;bFBLAQItABQABgAIAAAAIQChucvl3AAAAAUBAAAPAAAAAAAAAAAAAAAAAH4EAABkcnMvZG93bnJl&#10;di54bWxQSwUGAAAAAAQABADzAAAAhwUAAAAA&#10;">
                <v:textbox style="mso-fit-shape-to-text:t">
                  <w:txbxContent>
                    <w:p w14:paraId="7FB680DD" w14:textId="77777777" w:rsidR="009679E9" w:rsidRPr="006242BF" w:rsidRDefault="009679E9" w:rsidP="009679E9">
                      <w:pPr>
                        <w:jc w:val="center"/>
                        <w:rPr>
                          <w:lang w:val="en-US"/>
                        </w:rPr>
                      </w:pPr>
                      <w:r>
                        <w:rPr>
                          <w:rFonts w:ascii="Arial" w:eastAsia="SimSun" w:hAnsi="Arial" w:cs="Arial"/>
                          <w:lang w:eastAsia="zh-CN"/>
                        </w:rPr>
                        <w:t>SA2 would like RAN1 and RAN2 to provide feedback on the above description as well as if they can provide additional information on the use of the Range parameter in order for SA2 to progress the work.</w:t>
                      </w:r>
                    </w:p>
                  </w:txbxContent>
                </v:textbox>
                <w10:anchorlock/>
              </v:shape>
            </w:pict>
          </mc:Fallback>
        </mc:AlternateContent>
      </w:r>
    </w:p>
    <w:p w14:paraId="6816920B" w14:textId="77777777" w:rsidR="009679E9" w:rsidRDefault="009679E9" w:rsidP="009679E9">
      <w:r w:rsidRPr="00315788">
        <w:rPr>
          <w:b/>
        </w:rPr>
        <w:t xml:space="preserve">Observation </w:t>
      </w:r>
      <w:r>
        <w:rPr>
          <w:b/>
        </w:rPr>
        <w:t>4</w:t>
      </w:r>
      <w:r w:rsidRPr="00315788">
        <w:rPr>
          <w:b/>
        </w:rPr>
        <w:t>:</w:t>
      </w:r>
      <w:r>
        <w:t xml:space="preserve"> SA2 has defined the range parameter to be used for indicating the applicability of a QoS, or packet handling as HARQ.</w:t>
      </w:r>
    </w:p>
    <w:p w14:paraId="44EDA542" w14:textId="77777777" w:rsidR="009679E9" w:rsidRDefault="009679E9" w:rsidP="009679E9">
      <w:r>
        <w:t>Utilizing range to limit HARQ responses for groupcast allows the Transmitting UE to avoid unnecessary retransmissions to satisfy recipients which are outside the required range, resulting in waste of resources. Such behaviour should be applied to at least the NACK only transmissions to allow better reliability combined with an optimal usage of resources. Using a range metric in meters, allows it to be compliant with the resolution of other estimations of similar sorts.</w:t>
      </w:r>
    </w:p>
    <w:p w14:paraId="6BE9B914" w14:textId="77777777" w:rsidR="009679E9" w:rsidRDefault="009679E9" w:rsidP="009679E9">
      <w:r w:rsidRPr="00091B96">
        <w:rPr>
          <w:b/>
        </w:rPr>
        <w:t>Proposal 2:</w:t>
      </w:r>
      <w:r>
        <w:t xml:space="preserve"> RAN2 to design the range measure such that it follows SA2s description of being in the unit of meters.</w:t>
      </w:r>
    </w:p>
    <w:p w14:paraId="006E27E2" w14:textId="77777777" w:rsidR="009679E9" w:rsidRDefault="009679E9" w:rsidP="009679E9">
      <w:r>
        <w:t>Defining communication range based on location requires knowledge of the groupcasting UEs. Relying on such data, requires that the groupcasting UE transmits the current location as for the receiving UEs to estimate the relative distance. Range may be deduced by measurements such as RSRP, or location reporting. Proposals for such reporting includes zone ID and coordinates. Zone ID reporting may be an efficient way of reporting the location compared to the higher payload of coordinate data, but the concept of reporting the zone ID may prove insufficient if the range calculation is based i.e. on the zone’s centres. In such case, if the peer UE is at the opposite border of another zone than the transmitting UE, the peer UE may be out of range for the transmission, even though the range metric indicates otherwise. Similarly, if both the transmitting UE and a peer UE are close to each other’s border, they might be in range, even though the range indicates otherwise.</w:t>
      </w:r>
    </w:p>
    <w:p w14:paraId="1CFCC712" w14:textId="77777777" w:rsidR="009679E9" w:rsidRDefault="009679E9" w:rsidP="009679E9">
      <w:r w:rsidRPr="00091B96">
        <w:rPr>
          <w:b/>
        </w:rPr>
        <w:t>Proposal 3:</w:t>
      </w:r>
      <w:r>
        <w:t xml:space="preserve"> RAN2 address zone design if chosen to look on zone-based location reporting for range estimation used for HARQ response.</w:t>
      </w:r>
    </w:p>
    <w:p w14:paraId="286DB956" w14:textId="77777777" w:rsidR="009679E9" w:rsidRDefault="009679E9" w:rsidP="009679E9">
      <w:r>
        <w:t>SA2 also requests information about additional usage of the range parameter. Potentially, range could be used to determine the QoS profile applicability for a certain flow. How such operation should be deployed should be FFS.</w:t>
      </w:r>
    </w:p>
    <w:p w14:paraId="146BD546" w14:textId="77777777" w:rsidR="009679E9" w:rsidRPr="00C20FA9" w:rsidRDefault="009679E9" w:rsidP="009679E9">
      <w:r w:rsidRPr="009A4C16">
        <w:rPr>
          <w:b/>
        </w:rPr>
        <w:t xml:space="preserve">Proposal </w:t>
      </w:r>
      <w:r>
        <w:rPr>
          <w:b/>
        </w:rPr>
        <w:t>4</w:t>
      </w:r>
      <w:r w:rsidRPr="009A4C16">
        <w:rPr>
          <w:b/>
        </w:rPr>
        <w:t>:</w:t>
      </w:r>
      <w:r w:rsidRPr="009A4C16">
        <w:t xml:space="preserve"> RAN2</w:t>
      </w:r>
      <w:r>
        <w:t xml:space="preserve"> to discuss which other applications, such as QoS profile applicability decision, may be supported by the range metric.</w:t>
      </w:r>
    </w:p>
    <w:p w14:paraId="07E1A308" w14:textId="77777777" w:rsidR="009679E9" w:rsidRDefault="009679E9" w:rsidP="009679E9">
      <w:pPr>
        <w:pStyle w:val="Heading1"/>
      </w:pPr>
      <w:r w:rsidRPr="006E13D1">
        <w:lastRenderedPageBreak/>
        <w:t>3</w:t>
      </w:r>
      <w:r w:rsidRPr="006E13D1">
        <w:tab/>
      </w:r>
      <w:r>
        <w:t>Conclusion</w:t>
      </w:r>
    </w:p>
    <w:p w14:paraId="76381566" w14:textId="77777777" w:rsidR="009679E9" w:rsidRPr="0049729A" w:rsidRDefault="009679E9" w:rsidP="009679E9">
      <w:r>
        <w:t>This paper is aimed at discussing the SA2 S2-1904823 on QoS model for unicast, groupcast, and broadcast, and the range parameter.</w:t>
      </w:r>
    </w:p>
    <w:p w14:paraId="6099E80C" w14:textId="77777777" w:rsidR="009679E9" w:rsidRDefault="009679E9" w:rsidP="009679E9">
      <w:r w:rsidRPr="00E74EEC">
        <w:rPr>
          <w:b/>
        </w:rPr>
        <w:t xml:space="preserve">Observation 1: </w:t>
      </w:r>
      <w:r>
        <w:t>It is possible to use per-flow based QoS profile for SL groupcast/broadcast using i.e. preconfigured QoS profiles.</w:t>
      </w:r>
    </w:p>
    <w:p w14:paraId="0B67EB81" w14:textId="77777777" w:rsidR="009679E9" w:rsidRDefault="009679E9" w:rsidP="009679E9">
      <w:r w:rsidRPr="00E74EEC">
        <w:rPr>
          <w:b/>
        </w:rPr>
        <w:t>Observation 2:</w:t>
      </w:r>
      <w:r>
        <w:t xml:space="preserve"> The high configurability in V2X combined with supporting multiple QoS flow models will increase implementation complexity.</w:t>
      </w:r>
    </w:p>
    <w:p w14:paraId="2CC270DB" w14:textId="77777777" w:rsidR="009679E9" w:rsidRDefault="009679E9" w:rsidP="009679E9">
      <w:r w:rsidRPr="00E74EEC">
        <w:rPr>
          <w:b/>
        </w:rPr>
        <w:t>Observation 3:</w:t>
      </w:r>
      <w:r>
        <w:t xml:space="preserve"> SA2 prefers a unified approach to map QOS to the SLRB configuration.</w:t>
      </w:r>
    </w:p>
    <w:p w14:paraId="3A7055DB" w14:textId="77777777" w:rsidR="009679E9" w:rsidRDefault="009679E9" w:rsidP="009679E9">
      <w:r w:rsidRPr="00E74EEC">
        <w:rPr>
          <w:b/>
        </w:rPr>
        <w:t>Proposal 1:</w:t>
      </w:r>
      <w:r>
        <w:t xml:space="preserve"> RAN2 to follow SA2s guidance on using per-flow based QoS profiles to be supported in SL both unicast/groupcast/broadcast.</w:t>
      </w:r>
    </w:p>
    <w:p w14:paraId="029A734D" w14:textId="77777777" w:rsidR="009679E9" w:rsidRDefault="009679E9" w:rsidP="009679E9">
      <w:r w:rsidRPr="00315788">
        <w:rPr>
          <w:b/>
        </w:rPr>
        <w:t xml:space="preserve">Observation </w:t>
      </w:r>
      <w:r>
        <w:rPr>
          <w:b/>
        </w:rPr>
        <w:t>4</w:t>
      </w:r>
      <w:r w:rsidRPr="00315788">
        <w:rPr>
          <w:b/>
        </w:rPr>
        <w:t>:</w:t>
      </w:r>
      <w:r>
        <w:t xml:space="preserve"> SA2 has defined the range parameter to be used for indicating the applicability of a QoS but requests further information on the use of range parameter.</w:t>
      </w:r>
    </w:p>
    <w:p w14:paraId="7A46020C" w14:textId="77777777" w:rsidR="009679E9" w:rsidRDefault="009679E9" w:rsidP="009679E9">
      <w:r w:rsidRPr="00091B96">
        <w:rPr>
          <w:b/>
        </w:rPr>
        <w:t>Proposal 2:</w:t>
      </w:r>
      <w:r>
        <w:t xml:space="preserve"> RAN2 to design the range measure such that it follows SA2s description of being in the unit of meters.</w:t>
      </w:r>
    </w:p>
    <w:p w14:paraId="6AC98596" w14:textId="18DDF5C9" w:rsidR="009679E9" w:rsidRDefault="009679E9" w:rsidP="009679E9">
      <w:r w:rsidRPr="00091B96">
        <w:rPr>
          <w:b/>
        </w:rPr>
        <w:t>Proposal 3:</w:t>
      </w:r>
      <w:r>
        <w:t xml:space="preserve"> </w:t>
      </w:r>
      <w:r>
        <w:t xml:space="preserve">If zone ID is to be supported as used for range metric, </w:t>
      </w:r>
      <w:r>
        <w:t xml:space="preserve">RAN2 </w:t>
      </w:r>
      <w:r>
        <w:t xml:space="preserve">to </w:t>
      </w:r>
      <w:r>
        <w:t xml:space="preserve">address zone design </w:t>
      </w:r>
      <w:bookmarkStart w:id="0" w:name="_GoBack"/>
      <w:bookmarkEnd w:id="0"/>
      <w:r>
        <w:t>for range estimation used for HARQ response.</w:t>
      </w:r>
    </w:p>
    <w:p w14:paraId="5016CCBE" w14:textId="77777777" w:rsidR="009679E9" w:rsidRPr="006E13D1" w:rsidRDefault="009679E9" w:rsidP="009679E9">
      <w:r w:rsidRPr="009A4C16">
        <w:rPr>
          <w:b/>
        </w:rPr>
        <w:t xml:space="preserve">Proposal </w:t>
      </w:r>
      <w:r>
        <w:rPr>
          <w:b/>
        </w:rPr>
        <w:t>4</w:t>
      </w:r>
      <w:r w:rsidRPr="009A4C16">
        <w:rPr>
          <w:b/>
        </w:rPr>
        <w:t>:</w:t>
      </w:r>
      <w:r w:rsidRPr="009A4C16">
        <w:t xml:space="preserve"> RAN2</w:t>
      </w:r>
      <w:r>
        <w:t xml:space="preserve"> to discuss which other applications, such as QoS profile applicability decision, may be supported by the range metric.</w:t>
      </w:r>
    </w:p>
    <w:sdt>
      <w:sdtPr>
        <w:rPr>
          <w:rFonts w:ascii="Times New Roman" w:hAnsi="Times New Roman"/>
          <w:sz w:val="20"/>
        </w:rPr>
        <w:id w:val="329877972"/>
        <w:docPartObj>
          <w:docPartGallery w:val="Bibliographies"/>
          <w:docPartUnique/>
        </w:docPartObj>
      </w:sdtPr>
      <w:sdtContent>
        <w:p w14:paraId="15B97B9A" w14:textId="77777777" w:rsidR="009679E9" w:rsidRDefault="009679E9" w:rsidP="009679E9">
          <w:pPr>
            <w:pStyle w:val="Heading1"/>
          </w:pPr>
          <w:r>
            <w:t>References</w:t>
          </w:r>
        </w:p>
        <w:sdt>
          <w:sdtPr>
            <w:id w:val="111145805"/>
            <w:bibliography/>
          </w:sdtPr>
          <w:sdtContent>
            <w:p w14:paraId="07C78FFA" w14:textId="77777777" w:rsidR="009679E9" w:rsidRDefault="009679E9" w:rsidP="009679E9">
              <w:pPr>
                <w:rPr>
                  <w:noProof/>
                  <w:lang w:eastAsia="en-GB"/>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2"/>
              </w:tblGrid>
              <w:tr w:rsidR="009679E9" w14:paraId="6141C0DA" w14:textId="77777777" w:rsidTr="0085118F">
                <w:trPr>
                  <w:tblCellSpacing w:w="15" w:type="dxa"/>
                </w:trPr>
                <w:tc>
                  <w:tcPr>
                    <w:tcW w:w="137" w:type="pct"/>
                    <w:hideMark/>
                  </w:tcPr>
                  <w:p w14:paraId="0DEB12CF" w14:textId="77777777" w:rsidR="009679E9" w:rsidRDefault="009679E9" w:rsidP="0085118F">
                    <w:pPr>
                      <w:pStyle w:val="Bibliography"/>
                      <w:rPr>
                        <w:noProof/>
                        <w:sz w:val="24"/>
                        <w:szCs w:val="24"/>
                      </w:rPr>
                    </w:pPr>
                    <w:r>
                      <w:rPr>
                        <w:noProof/>
                      </w:rPr>
                      <w:t xml:space="preserve">[1] </w:t>
                    </w:r>
                  </w:p>
                </w:tc>
                <w:tc>
                  <w:tcPr>
                    <w:tcW w:w="0" w:type="auto"/>
                    <w:hideMark/>
                  </w:tcPr>
                  <w:p w14:paraId="0E3D5064" w14:textId="77777777" w:rsidR="009679E9" w:rsidRDefault="009679E9" w:rsidP="0085118F">
                    <w:pPr>
                      <w:pStyle w:val="Bibliography"/>
                      <w:rPr>
                        <w:noProof/>
                      </w:rPr>
                    </w:pPr>
                    <w:r>
                      <w:rPr>
                        <w:noProof/>
                      </w:rPr>
                      <w:t>3GPP, “TR 25.886 Study on enhancement of 3GPP support for 5G V2X services (Release 16),” 2018.</w:t>
                    </w:r>
                  </w:p>
                </w:tc>
              </w:tr>
              <w:tr w:rsidR="009679E9" w14:paraId="07454D77" w14:textId="77777777" w:rsidTr="0085118F">
                <w:trPr>
                  <w:tblCellSpacing w:w="15" w:type="dxa"/>
                </w:trPr>
                <w:tc>
                  <w:tcPr>
                    <w:tcW w:w="137" w:type="pct"/>
                    <w:hideMark/>
                  </w:tcPr>
                  <w:p w14:paraId="329051B3" w14:textId="77777777" w:rsidR="009679E9" w:rsidRDefault="009679E9" w:rsidP="0085118F">
                    <w:pPr>
                      <w:pStyle w:val="Bibliography"/>
                      <w:rPr>
                        <w:noProof/>
                      </w:rPr>
                    </w:pPr>
                    <w:r>
                      <w:rPr>
                        <w:noProof/>
                      </w:rPr>
                      <w:t xml:space="preserve">[2] </w:t>
                    </w:r>
                  </w:p>
                </w:tc>
                <w:tc>
                  <w:tcPr>
                    <w:tcW w:w="0" w:type="auto"/>
                    <w:hideMark/>
                  </w:tcPr>
                  <w:p w14:paraId="659B0615" w14:textId="77777777" w:rsidR="009679E9" w:rsidRDefault="009679E9" w:rsidP="0085118F">
                    <w:pPr>
                      <w:pStyle w:val="Bibliography"/>
                      <w:rPr>
                        <w:noProof/>
                      </w:rPr>
                    </w:pPr>
                    <w:r>
                      <w:rPr>
                        <w:noProof/>
                      </w:rPr>
                      <w:t>3GPP, “S2-1904823 LS response on unicast, groupcast and broadcast in NR sidelink,” 2019.</w:t>
                    </w:r>
                  </w:p>
                </w:tc>
              </w:tr>
              <w:tr w:rsidR="009679E9" w14:paraId="203EA587" w14:textId="77777777" w:rsidTr="0085118F">
                <w:trPr>
                  <w:tblCellSpacing w:w="15" w:type="dxa"/>
                </w:trPr>
                <w:tc>
                  <w:tcPr>
                    <w:tcW w:w="137" w:type="pct"/>
                    <w:hideMark/>
                  </w:tcPr>
                  <w:p w14:paraId="08B98F0C" w14:textId="77777777" w:rsidR="009679E9" w:rsidRDefault="009679E9" w:rsidP="0085118F">
                    <w:pPr>
                      <w:pStyle w:val="Bibliography"/>
                      <w:rPr>
                        <w:noProof/>
                      </w:rPr>
                    </w:pPr>
                    <w:r>
                      <w:rPr>
                        <w:noProof/>
                      </w:rPr>
                      <w:t xml:space="preserve">[3] </w:t>
                    </w:r>
                  </w:p>
                </w:tc>
                <w:tc>
                  <w:tcPr>
                    <w:tcW w:w="0" w:type="auto"/>
                    <w:hideMark/>
                  </w:tcPr>
                  <w:p w14:paraId="51B17768" w14:textId="77777777" w:rsidR="009679E9" w:rsidRDefault="009679E9" w:rsidP="0085118F">
                    <w:pPr>
                      <w:pStyle w:val="Bibliography"/>
                      <w:rPr>
                        <w:noProof/>
                      </w:rPr>
                    </w:pPr>
                    <w:r>
                      <w:rPr>
                        <w:noProof/>
                      </w:rPr>
                      <w:t>3GPP, “R2-1902494 LS response to SA2 on unicast, groupcast and broadcast in NR sidelink,” 2019.</w:t>
                    </w:r>
                  </w:p>
                </w:tc>
              </w:tr>
            </w:tbl>
            <w:p w14:paraId="1E60F03B" w14:textId="77777777" w:rsidR="009679E9" w:rsidRDefault="009679E9" w:rsidP="009679E9">
              <w:pPr>
                <w:rPr>
                  <w:noProof/>
                </w:rPr>
              </w:pPr>
            </w:p>
            <w:p w14:paraId="07ECC627" w14:textId="77777777" w:rsidR="009679E9" w:rsidRDefault="009679E9" w:rsidP="009679E9">
              <w:r>
                <w:rPr>
                  <w:b/>
                  <w:bCs/>
                  <w:noProof/>
                </w:rPr>
                <w:fldChar w:fldCharType="end"/>
              </w:r>
            </w:p>
          </w:sdtContent>
        </w:sdt>
      </w:sdtContent>
    </w:sdt>
    <w:p w14:paraId="217A7AEB" w14:textId="77777777" w:rsidR="009679E9" w:rsidRPr="006E13D1" w:rsidRDefault="009679E9" w:rsidP="009679E9"/>
    <w:p w14:paraId="72CA5E69" w14:textId="77777777" w:rsidR="009679E9" w:rsidRDefault="009679E9" w:rsidP="009679E9"/>
    <w:p w14:paraId="5894E891" w14:textId="77777777" w:rsidR="009679E9" w:rsidRPr="00CD4C7B" w:rsidRDefault="009679E9" w:rsidP="009679E9"/>
    <w:p w14:paraId="63AAD76B" w14:textId="77777777" w:rsidR="009679E9" w:rsidRPr="00A209D6" w:rsidRDefault="009679E9" w:rsidP="009679E9"/>
    <w:p w14:paraId="35F222F4" w14:textId="77777777" w:rsidR="00080512" w:rsidRPr="009679E9" w:rsidRDefault="00080512" w:rsidP="009679E9"/>
    <w:sectPr w:rsidR="00080512" w:rsidRPr="009679E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09176" w14:textId="77777777" w:rsidR="00166017" w:rsidRDefault="00166017">
      <w:r>
        <w:separator/>
      </w:r>
    </w:p>
  </w:endnote>
  <w:endnote w:type="continuationSeparator" w:id="0">
    <w:p w14:paraId="552DE7B5" w14:textId="77777777" w:rsidR="00166017" w:rsidRDefault="00166017">
      <w:r>
        <w:continuationSeparator/>
      </w:r>
    </w:p>
  </w:endnote>
  <w:endnote w:type="continuationNotice" w:id="1">
    <w:p w14:paraId="0D296EF2" w14:textId="77777777" w:rsidR="009E0DEA" w:rsidRDefault="009E0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166017" w:rsidRDefault="001660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166017" w:rsidRDefault="001660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166017" w:rsidRDefault="001660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E002B" w14:textId="77777777" w:rsidR="00166017" w:rsidRDefault="00166017">
      <w:r>
        <w:separator/>
      </w:r>
    </w:p>
  </w:footnote>
  <w:footnote w:type="continuationSeparator" w:id="0">
    <w:p w14:paraId="7BCFE1BC" w14:textId="77777777" w:rsidR="00166017" w:rsidRDefault="00166017">
      <w:r>
        <w:continuationSeparator/>
      </w:r>
    </w:p>
  </w:footnote>
  <w:footnote w:type="continuationNotice" w:id="1">
    <w:p w14:paraId="0ACDB7D7" w14:textId="77777777" w:rsidR="009E0DEA" w:rsidRDefault="009E0D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166017" w:rsidRDefault="001660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166017" w:rsidRDefault="001660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166017" w:rsidRDefault="00166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5CE4"/>
    <w:rsid w:val="000739B7"/>
    <w:rsid w:val="00073C9C"/>
    <w:rsid w:val="00080512"/>
    <w:rsid w:val="00090468"/>
    <w:rsid w:val="00091B96"/>
    <w:rsid w:val="00094568"/>
    <w:rsid w:val="000B7BCF"/>
    <w:rsid w:val="000C491A"/>
    <w:rsid w:val="000C522B"/>
    <w:rsid w:val="000D58AB"/>
    <w:rsid w:val="00112F1A"/>
    <w:rsid w:val="00145075"/>
    <w:rsid w:val="00151961"/>
    <w:rsid w:val="00166017"/>
    <w:rsid w:val="001741A0"/>
    <w:rsid w:val="00175FA0"/>
    <w:rsid w:val="00194CD0"/>
    <w:rsid w:val="001B49C9"/>
    <w:rsid w:val="001C4F79"/>
    <w:rsid w:val="001F168B"/>
    <w:rsid w:val="001F7831"/>
    <w:rsid w:val="00204045"/>
    <w:rsid w:val="0020712B"/>
    <w:rsid w:val="002226C6"/>
    <w:rsid w:val="0022606D"/>
    <w:rsid w:val="00231728"/>
    <w:rsid w:val="002610D8"/>
    <w:rsid w:val="002747EC"/>
    <w:rsid w:val="002855BF"/>
    <w:rsid w:val="002F0D22"/>
    <w:rsid w:val="00315788"/>
    <w:rsid w:val="003172DC"/>
    <w:rsid w:val="00325AE3"/>
    <w:rsid w:val="00326069"/>
    <w:rsid w:val="00352E57"/>
    <w:rsid w:val="0035462D"/>
    <w:rsid w:val="00364B41"/>
    <w:rsid w:val="00383096"/>
    <w:rsid w:val="003A41EF"/>
    <w:rsid w:val="003B40AD"/>
    <w:rsid w:val="003C4E37"/>
    <w:rsid w:val="003E16BE"/>
    <w:rsid w:val="003E3071"/>
    <w:rsid w:val="003F4E28"/>
    <w:rsid w:val="004006E8"/>
    <w:rsid w:val="00401855"/>
    <w:rsid w:val="00465587"/>
    <w:rsid w:val="00477455"/>
    <w:rsid w:val="0049729A"/>
    <w:rsid w:val="004A1F7B"/>
    <w:rsid w:val="004C44D2"/>
    <w:rsid w:val="004D030C"/>
    <w:rsid w:val="004D3578"/>
    <w:rsid w:val="004D380D"/>
    <w:rsid w:val="004E213A"/>
    <w:rsid w:val="00503171"/>
    <w:rsid w:val="00506C28"/>
    <w:rsid w:val="00534DA0"/>
    <w:rsid w:val="00543E6C"/>
    <w:rsid w:val="00565087"/>
    <w:rsid w:val="0056573F"/>
    <w:rsid w:val="005914C6"/>
    <w:rsid w:val="00611566"/>
    <w:rsid w:val="00622D65"/>
    <w:rsid w:val="006242BF"/>
    <w:rsid w:val="00646D99"/>
    <w:rsid w:val="00656910"/>
    <w:rsid w:val="006C66D8"/>
    <w:rsid w:val="006D1E24"/>
    <w:rsid w:val="006E1180"/>
    <w:rsid w:val="006E1417"/>
    <w:rsid w:val="006F6A2C"/>
    <w:rsid w:val="00710201"/>
    <w:rsid w:val="0072073A"/>
    <w:rsid w:val="007342B5"/>
    <w:rsid w:val="00734A5B"/>
    <w:rsid w:val="00744E76"/>
    <w:rsid w:val="00757D40"/>
    <w:rsid w:val="00781F0F"/>
    <w:rsid w:val="00782CD6"/>
    <w:rsid w:val="00783E42"/>
    <w:rsid w:val="0078727C"/>
    <w:rsid w:val="0079049D"/>
    <w:rsid w:val="00793DC5"/>
    <w:rsid w:val="007948EF"/>
    <w:rsid w:val="007A4EBC"/>
    <w:rsid w:val="007B18D8"/>
    <w:rsid w:val="007C095F"/>
    <w:rsid w:val="007C2DD0"/>
    <w:rsid w:val="008028A4"/>
    <w:rsid w:val="00813245"/>
    <w:rsid w:val="008271CD"/>
    <w:rsid w:val="008768CA"/>
    <w:rsid w:val="00877EF9"/>
    <w:rsid w:val="00880559"/>
    <w:rsid w:val="0089327B"/>
    <w:rsid w:val="008B5306"/>
    <w:rsid w:val="008C5A30"/>
    <w:rsid w:val="008C5C6F"/>
    <w:rsid w:val="008D2E4D"/>
    <w:rsid w:val="008F396F"/>
    <w:rsid w:val="0090271F"/>
    <w:rsid w:val="00902DB9"/>
    <w:rsid w:val="0090466A"/>
    <w:rsid w:val="00936071"/>
    <w:rsid w:val="00940212"/>
    <w:rsid w:val="00942EC2"/>
    <w:rsid w:val="00961B32"/>
    <w:rsid w:val="00962509"/>
    <w:rsid w:val="009679E9"/>
    <w:rsid w:val="00970DB3"/>
    <w:rsid w:val="00974BB0"/>
    <w:rsid w:val="009A0AF3"/>
    <w:rsid w:val="009A4C16"/>
    <w:rsid w:val="009A6234"/>
    <w:rsid w:val="009B07CD"/>
    <w:rsid w:val="009B2D25"/>
    <w:rsid w:val="009C19E9"/>
    <w:rsid w:val="009D74A6"/>
    <w:rsid w:val="009E0DEA"/>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2BF"/>
    <w:rsid w:val="00B516BB"/>
    <w:rsid w:val="00B728C1"/>
    <w:rsid w:val="00B84DB2"/>
    <w:rsid w:val="00B86F73"/>
    <w:rsid w:val="00BA079B"/>
    <w:rsid w:val="00BB04DE"/>
    <w:rsid w:val="00BC3555"/>
    <w:rsid w:val="00C12B51"/>
    <w:rsid w:val="00C20FA9"/>
    <w:rsid w:val="00C24650"/>
    <w:rsid w:val="00C25107"/>
    <w:rsid w:val="00C25465"/>
    <w:rsid w:val="00C33079"/>
    <w:rsid w:val="00C83A13"/>
    <w:rsid w:val="00C9068C"/>
    <w:rsid w:val="00C92967"/>
    <w:rsid w:val="00CA3D0C"/>
    <w:rsid w:val="00CA654B"/>
    <w:rsid w:val="00CB72B8"/>
    <w:rsid w:val="00CD4C7B"/>
    <w:rsid w:val="00D20626"/>
    <w:rsid w:val="00D33BE3"/>
    <w:rsid w:val="00D3792D"/>
    <w:rsid w:val="00D47B82"/>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37CFE"/>
    <w:rsid w:val="00E46C08"/>
    <w:rsid w:val="00E471CF"/>
    <w:rsid w:val="00E62835"/>
    <w:rsid w:val="00E74EEC"/>
    <w:rsid w:val="00E77645"/>
    <w:rsid w:val="00E83697"/>
    <w:rsid w:val="00EA66C9"/>
    <w:rsid w:val="00EC4A25"/>
    <w:rsid w:val="00EC62AD"/>
    <w:rsid w:val="00F025A2"/>
    <w:rsid w:val="00F07388"/>
    <w:rsid w:val="00F2026E"/>
    <w:rsid w:val="00F2210A"/>
    <w:rsid w:val="00F27D01"/>
    <w:rsid w:val="00F37743"/>
    <w:rsid w:val="00F54A3D"/>
    <w:rsid w:val="00F54CB0"/>
    <w:rsid w:val="00F653B8"/>
    <w:rsid w:val="00F71B89"/>
    <w:rsid w:val="00F7353C"/>
    <w:rsid w:val="00F76F8F"/>
    <w:rsid w:val="00F941DF"/>
    <w:rsid w:val="00FA1266"/>
    <w:rsid w:val="00FB36FA"/>
    <w:rsid w:val="00FC1192"/>
    <w:rsid w:val="00FC22CF"/>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Heading1Char">
    <w:name w:val="Heading 1 Char"/>
    <w:basedOn w:val="DefaultParagraphFont"/>
    <w:link w:val="Heading1"/>
    <w:uiPriority w:val="9"/>
    <w:rsid w:val="00D47B82"/>
    <w:rPr>
      <w:rFonts w:ascii="Arial" w:hAnsi="Arial"/>
      <w:sz w:val="36"/>
      <w:lang w:eastAsia="en-US"/>
    </w:rPr>
  </w:style>
  <w:style w:type="paragraph" w:styleId="Bibliography">
    <w:name w:val="Bibliography"/>
    <w:basedOn w:val="Normal"/>
    <w:next w:val="Normal"/>
    <w:uiPriority w:val="37"/>
    <w:unhideWhenUsed/>
    <w:rsid w:val="00D47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79273">
      <w:bodyDiv w:val="1"/>
      <w:marLeft w:val="0"/>
      <w:marRight w:val="0"/>
      <w:marTop w:val="0"/>
      <w:marBottom w:val="0"/>
      <w:divBdr>
        <w:top w:val="none" w:sz="0" w:space="0" w:color="auto"/>
        <w:left w:val="none" w:sz="0" w:space="0" w:color="auto"/>
        <w:bottom w:val="none" w:sz="0" w:space="0" w:color="auto"/>
        <w:right w:val="none" w:sz="0" w:space="0" w:color="auto"/>
      </w:divBdr>
    </w:div>
    <w:div w:id="60451302">
      <w:bodyDiv w:val="1"/>
      <w:marLeft w:val="0"/>
      <w:marRight w:val="0"/>
      <w:marTop w:val="0"/>
      <w:marBottom w:val="0"/>
      <w:divBdr>
        <w:top w:val="none" w:sz="0" w:space="0" w:color="auto"/>
        <w:left w:val="none" w:sz="0" w:space="0" w:color="auto"/>
        <w:bottom w:val="none" w:sz="0" w:space="0" w:color="auto"/>
        <w:right w:val="none" w:sz="0" w:space="0" w:color="auto"/>
      </w:divBdr>
    </w:div>
    <w:div w:id="208299521">
      <w:bodyDiv w:val="1"/>
      <w:marLeft w:val="0"/>
      <w:marRight w:val="0"/>
      <w:marTop w:val="0"/>
      <w:marBottom w:val="0"/>
      <w:divBdr>
        <w:top w:val="none" w:sz="0" w:space="0" w:color="auto"/>
        <w:left w:val="none" w:sz="0" w:space="0" w:color="auto"/>
        <w:bottom w:val="none" w:sz="0" w:space="0" w:color="auto"/>
        <w:right w:val="none" w:sz="0" w:space="0" w:color="auto"/>
      </w:divBdr>
    </w:div>
    <w:div w:id="289475313">
      <w:bodyDiv w:val="1"/>
      <w:marLeft w:val="0"/>
      <w:marRight w:val="0"/>
      <w:marTop w:val="0"/>
      <w:marBottom w:val="0"/>
      <w:divBdr>
        <w:top w:val="none" w:sz="0" w:space="0" w:color="auto"/>
        <w:left w:val="none" w:sz="0" w:space="0" w:color="auto"/>
        <w:bottom w:val="none" w:sz="0" w:space="0" w:color="auto"/>
        <w:right w:val="none" w:sz="0" w:space="0" w:color="auto"/>
      </w:divBdr>
    </w:div>
    <w:div w:id="321544231">
      <w:bodyDiv w:val="1"/>
      <w:marLeft w:val="0"/>
      <w:marRight w:val="0"/>
      <w:marTop w:val="0"/>
      <w:marBottom w:val="0"/>
      <w:divBdr>
        <w:top w:val="none" w:sz="0" w:space="0" w:color="auto"/>
        <w:left w:val="none" w:sz="0" w:space="0" w:color="auto"/>
        <w:bottom w:val="none" w:sz="0" w:space="0" w:color="auto"/>
        <w:right w:val="none" w:sz="0" w:space="0" w:color="auto"/>
      </w:divBdr>
    </w:div>
    <w:div w:id="445738495">
      <w:bodyDiv w:val="1"/>
      <w:marLeft w:val="0"/>
      <w:marRight w:val="0"/>
      <w:marTop w:val="0"/>
      <w:marBottom w:val="0"/>
      <w:divBdr>
        <w:top w:val="none" w:sz="0" w:space="0" w:color="auto"/>
        <w:left w:val="none" w:sz="0" w:space="0" w:color="auto"/>
        <w:bottom w:val="none" w:sz="0" w:space="0" w:color="auto"/>
        <w:right w:val="none" w:sz="0" w:space="0" w:color="auto"/>
      </w:divBdr>
    </w:div>
    <w:div w:id="450517063">
      <w:bodyDiv w:val="1"/>
      <w:marLeft w:val="0"/>
      <w:marRight w:val="0"/>
      <w:marTop w:val="0"/>
      <w:marBottom w:val="0"/>
      <w:divBdr>
        <w:top w:val="none" w:sz="0" w:space="0" w:color="auto"/>
        <w:left w:val="none" w:sz="0" w:space="0" w:color="auto"/>
        <w:bottom w:val="none" w:sz="0" w:space="0" w:color="auto"/>
        <w:right w:val="none" w:sz="0" w:space="0" w:color="auto"/>
      </w:divBdr>
    </w:div>
    <w:div w:id="542139156">
      <w:bodyDiv w:val="1"/>
      <w:marLeft w:val="0"/>
      <w:marRight w:val="0"/>
      <w:marTop w:val="0"/>
      <w:marBottom w:val="0"/>
      <w:divBdr>
        <w:top w:val="none" w:sz="0" w:space="0" w:color="auto"/>
        <w:left w:val="none" w:sz="0" w:space="0" w:color="auto"/>
        <w:bottom w:val="none" w:sz="0" w:space="0" w:color="auto"/>
        <w:right w:val="none" w:sz="0" w:space="0" w:color="auto"/>
      </w:divBdr>
    </w:div>
    <w:div w:id="694162139">
      <w:bodyDiv w:val="1"/>
      <w:marLeft w:val="0"/>
      <w:marRight w:val="0"/>
      <w:marTop w:val="0"/>
      <w:marBottom w:val="0"/>
      <w:divBdr>
        <w:top w:val="none" w:sz="0" w:space="0" w:color="auto"/>
        <w:left w:val="none" w:sz="0" w:space="0" w:color="auto"/>
        <w:bottom w:val="none" w:sz="0" w:space="0" w:color="auto"/>
        <w:right w:val="none" w:sz="0" w:space="0" w:color="auto"/>
      </w:divBdr>
    </w:div>
    <w:div w:id="723333471">
      <w:bodyDiv w:val="1"/>
      <w:marLeft w:val="0"/>
      <w:marRight w:val="0"/>
      <w:marTop w:val="0"/>
      <w:marBottom w:val="0"/>
      <w:divBdr>
        <w:top w:val="none" w:sz="0" w:space="0" w:color="auto"/>
        <w:left w:val="none" w:sz="0" w:space="0" w:color="auto"/>
        <w:bottom w:val="none" w:sz="0" w:space="0" w:color="auto"/>
        <w:right w:val="none" w:sz="0" w:space="0" w:color="auto"/>
      </w:divBdr>
    </w:div>
    <w:div w:id="733043438">
      <w:bodyDiv w:val="1"/>
      <w:marLeft w:val="0"/>
      <w:marRight w:val="0"/>
      <w:marTop w:val="0"/>
      <w:marBottom w:val="0"/>
      <w:divBdr>
        <w:top w:val="none" w:sz="0" w:space="0" w:color="auto"/>
        <w:left w:val="none" w:sz="0" w:space="0" w:color="auto"/>
        <w:bottom w:val="none" w:sz="0" w:space="0" w:color="auto"/>
        <w:right w:val="none" w:sz="0" w:space="0" w:color="auto"/>
      </w:divBdr>
    </w:div>
    <w:div w:id="750199842">
      <w:bodyDiv w:val="1"/>
      <w:marLeft w:val="0"/>
      <w:marRight w:val="0"/>
      <w:marTop w:val="0"/>
      <w:marBottom w:val="0"/>
      <w:divBdr>
        <w:top w:val="none" w:sz="0" w:space="0" w:color="auto"/>
        <w:left w:val="none" w:sz="0" w:space="0" w:color="auto"/>
        <w:bottom w:val="none" w:sz="0" w:space="0" w:color="auto"/>
        <w:right w:val="none" w:sz="0" w:space="0" w:color="auto"/>
      </w:divBdr>
    </w:div>
    <w:div w:id="786385445">
      <w:bodyDiv w:val="1"/>
      <w:marLeft w:val="0"/>
      <w:marRight w:val="0"/>
      <w:marTop w:val="0"/>
      <w:marBottom w:val="0"/>
      <w:divBdr>
        <w:top w:val="none" w:sz="0" w:space="0" w:color="auto"/>
        <w:left w:val="none" w:sz="0" w:space="0" w:color="auto"/>
        <w:bottom w:val="none" w:sz="0" w:space="0" w:color="auto"/>
        <w:right w:val="none" w:sz="0" w:space="0" w:color="auto"/>
      </w:divBdr>
    </w:div>
    <w:div w:id="79675185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6690840">
      <w:bodyDiv w:val="1"/>
      <w:marLeft w:val="0"/>
      <w:marRight w:val="0"/>
      <w:marTop w:val="0"/>
      <w:marBottom w:val="0"/>
      <w:divBdr>
        <w:top w:val="none" w:sz="0" w:space="0" w:color="auto"/>
        <w:left w:val="none" w:sz="0" w:space="0" w:color="auto"/>
        <w:bottom w:val="none" w:sz="0" w:space="0" w:color="auto"/>
        <w:right w:val="none" w:sz="0" w:space="0" w:color="auto"/>
      </w:divBdr>
    </w:div>
    <w:div w:id="1007825590">
      <w:bodyDiv w:val="1"/>
      <w:marLeft w:val="0"/>
      <w:marRight w:val="0"/>
      <w:marTop w:val="0"/>
      <w:marBottom w:val="0"/>
      <w:divBdr>
        <w:top w:val="none" w:sz="0" w:space="0" w:color="auto"/>
        <w:left w:val="none" w:sz="0" w:space="0" w:color="auto"/>
        <w:bottom w:val="none" w:sz="0" w:space="0" w:color="auto"/>
        <w:right w:val="none" w:sz="0" w:space="0" w:color="auto"/>
      </w:divBdr>
    </w:div>
    <w:div w:id="1019625484">
      <w:bodyDiv w:val="1"/>
      <w:marLeft w:val="0"/>
      <w:marRight w:val="0"/>
      <w:marTop w:val="0"/>
      <w:marBottom w:val="0"/>
      <w:divBdr>
        <w:top w:val="none" w:sz="0" w:space="0" w:color="auto"/>
        <w:left w:val="none" w:sz="0" w:space="0" w:color="auto"/>
        <w:bottom w:val="none" w:sz="0" w:space="0" w:color="auto"/>
        <w:right w:val="none" w:sz="0" w:space="0" w:color="auto"/>
      </w:divBdr>
    </w:div>
    <w:div w:id="1174540330">
      <w:bodyDiv w:val="1"/>
      <w:marLeft w:val="0"/>
      <w:marRight w:val="0"/>
      <w:marTop w:val="0"/>
      <w:marBottom w:val="0"/>
      <w:divBdr>
        <w:top w:val="none" w:sz="0" w:space="0" w:color="auto"/>
        <w:left w:val="none" w:sz="0" w:space="0" w:color="auto"/>
        <w:bottom w:val="none" w:sz="0" w:space="0" w:color="auto"/>
        <w:right w:val="none" w:sz="0" w:space="0" w:color="auto"/>
      </w:divBdr>
    </w:div>
    <w:div w:id="121635951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5034969">
      <w:bodyDiv w:val="1"/>
      <w:marLeft w:val="0"/>
      <w:marRight w:val="0"/>
      <w:marTop w:val="0"/>
      <w:marBottom w:val="0"/>
      <w:divBdr>
        <w:top w:val="none" w:sz="0" w:space="0" w:color="auto"/>
        <w:left w:val="none" w:sz="0" w:space="0" w:color="auto"/>
        <w:bottom w:val="none" w:sz="0" w:space="0" w:color="auto"/>
        <w:right w:val="none" w:sz="0" w:space="0" w:color="auto"/>
      </w:divBdr>
    </w:div>
    <w:div w:id="1430390921">
      <w:bodyDiv w:val="1"/>
      <w:marLeft w:val="0"/>
      <w:marRight w:val="0"/>
      <w:marTop w:val="0"/>
      <w:marBottom w:val="0"/>
      <w:divBdr>
        <w:top w:val="none" w:sz="0" w:space="0" w:color="auto"/>
        <w:left w:val="none" w:sz="0" w:space="0" w:color="auto"/>
        <w:bottom w:val="none" w:sz="0" w:space="0" w:color="auto"/>
        <w:right w:val="none" w:sz="0" w:space="0" w:color="auto"/>
      </w:divBdr>
    </w:div>
    <w:div w:id="1483428367">
      <w:bodyDiv w:val="1"/>
      <w:marLeft w:val="0"/>
      <w:marRight w:val="0"/>
      <w:marTop w:val="0"/>
      <w:marBottom w:val="0"/>
      <w:divBdr>
        <w:top w:val="none" w:sz="0" w:space="0" w:color="auto"/>
        <w:left w:val="none" w:sz="0" w:space="0" w:color="auto"/>
        <w:bottom w:val="none" w:sz="0" w:space="0" w:color="auto"/>
        <w:right w:val="none" w:sz="0" w:space="0" w:color="auto"/>
      </w:divBdr>
    </w:div>
    <w:div w:id="1539077010">
      <w:bodyDiv w:val="1"/>
      <w:marLeft w:val="0"/>
      <w:marRight w:val="0"/>
      <w:marTop w:val="0"/>
      <w:marBottom w:val="0"/>
      <w:divBdr>
        <w:top w:val="none" w:sz="0" w:space="0" w:color="auto"/>
        <w:left w:val="none" w:sz="0" w:space="0" w:color="auto"/>
        <w:bottom w:val="none" w:sz="0" w:space="0" w:color="auto"/>
        <w:right w:val="none" w:sz="0" w:space="0" w:color="auto"/>
      </w:divBdr>
    </w:div>
    <w:div w:id="1669136453">
      <w:bodyDiv w:val="1"/>
      <w:marLeft w:val="0"/>
      <w:marRight w:val="0"/>
      <w:marTop w:val="0"/>
      <w:marBottom w:val="0"/>
      <w:divBdr>
        <w:top w:val="none" w:sz="0" w:space="0" w:color="auto"/>
        <w:left w:val="none" w:sz="0" w:space="0" w:color="auto"/>
        <w:bottom w:val="none" w:sz="0" w:space="0" w:color="auto"/>
        <w:right w:val="none" w:sz="0" w:space="0" w:color="auto"/>
      </w:divBdr>
    </w:div>
    <w:div w:id="1708870522">
      <w:bodyDiv w:val="1"/>
      <w:marLeft w:val="0"/>
      <w:marRight w:val="0"/>
      <w:marTop w:val="0"/>
      <w:marBottom w:val="0"/>
      <w:divBdr>
        <w:top w:val="none" w:sz="0" w:space="0" w:color="auto"/>
        <w:left w:val="none" w:sz="0" w:space="0" w:color="auto"/>
        <w:bottom w:val="none" w:sz="0" w:space="0" w:color="auto"/>
        <w:right w:val="none" w:sz="0" w:space="0" w:color="auto"/>
      </w:divBdr>
    </w:div>
    <w:div w:id="1765495619">
      <w:bodyDiv w:val="1"/>
      <w:marLeft w:val="0"/>
      <w:marRight w:val="0"/>
      <w:marTop w:val="0"/>
      <w:marBottom w:val="0"/>
      <w:divBdr>
        <w:top w:val="none" w:sz="0" w:space="0" w:color="auto"/>
        <w:left w:val="none" w:sz="0" w:space="0" w:color="auto"/>
        <w:bottom w:val="none" w:sz="0" w:space="0" w:color="auto"/>
        <w:right w:val="none" w:sz="0" w:space="0" w:color="auto"/>
      </w:divBdr>
    </w:div>
    <w:div w:id="1766923578">
      <w:bodyDiv w:val="1"/>
      <w:marLeft w:val="0"/>
      <w:marRight w:val="0"/>
      <w:marTop w:val="0"/>
      <w:marBottom w:val="0"/>
      <w:divBdr>
        <w:top w:val="none" w:sz="0" w:space="0" w:color="auto"/>
        <w:left w:val="none" w:sz="0" w:space="0" w:color="auto"/>
        <w:bottom w:val="none" w:sz="0" w:space="0" w:color="auto"/>
        <w:right w:val="none" w:sz="0" w:space="0" w:color="auto"/>
      </w:divBdr>
    </w:div>
    <w:div w:id="1971200580">
      <w:bodyDiv w:val="1"/>
      <w:marLeft w:val="0"/>
      <w:marRight w:val="0"/>
      <w:marTop w:val="0"/>
      <w:marBottom w:val="0"/>
      <w:divBdr>
        <w:top w:val="none" w:sz="0" w:space="0" w:color="auto"/>
        <w:left w:val="none" w:sz="0" w:space="0" w:color="auto"/>
        <w:bottom w:val="none" w:sz="0" w:space="0" w:color="auto"/>
        <w:right w:val="none" w:sz="0" w:space="0" w:color="auto"/>
      </w:divBdr>
    </w:div>
    <w:div w:id="2096046504">
      <w:bodyDiv w:val="1"/>
      <w:marLeft w:val="0"/>
      <w:marRight w:val="0"/>
      <w:marTop w:val="0"/>
      <w:marBottom w:val="0"/>
      <w:divBdr>
        <w:top w:val="none" w:sz="0" w:space="0" w:color="auto"/>
        <w:left w:val="none" w:sz="0" w:space="0" w:color="auto"/>
        <w:bottom w:val="none" w:sz="0" w:space="0" w:color="auto"/>
        <w:right w:val="none" w:sz="0" w:space="0" w:color="auto"/>
      </w:divBdr>
    </w:div>
    <w:div w:id="213366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5AIRPNAIUNRU-859666464-5123</_dlc_DocId>
    <_dlc_DocIdUrl xmlns="71c5aaf6-e6ce-465b-b873-5148d2a4c105">
      <Url>https://nokia.sharepoint.com/sites/c5g/e2earch/_layouts/15/DocIdRedir.aspx?ID=5AIRPNAIUNRU-859666464-5123</Url>
      <Description>5AIRPNAIUNRU-859666464-5123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3GP18</b:Tag>
    <b:SourceType>Report</b:SourceType>
    <b:Guid>{09E51700-2BBC-45E0-9DC9-F8F9890938C0}</b:Guid>
    <b:Author>
      <b:Author>
        <b:NameList>
          <b:Person>
            <b:Last>3GPP</b:Last>
          </b:Person>
        </b:NameList>
      </b:Author>
    </b:Author>
    <b:Title>TR 25.886 Study on enhancement of 3GPP support for 5G V2X services (Release 16)</b:Title>
    <b:Year>2018</b:Year>
    <b:RefOrder>1</b:RefOrder>
  </b:Source>
  <b:Source>
    <b:Tag>3GP19</b:Tag>
    <b:SourceType>Report</b:SourceType>
    <b:Guid>{4DB4AA7C-DE17-4B91-8EF3-C16FE26DC8D2}</b:Guid>
    <b:Author>
      <b:Author>
        <b:NameList>
          <b:Person>
            <b:Last>3GPP</b:Last>
          </b:Person>
        </b:NameList>
      </b:Author>
    </b:Author>
    <b:Title>S2-1904823 LS response on unicast, groupcast and broadcast in NR sidelink</b:Title>
    <b:Year>2019</b:Year>
    <b:RefOrder>2</b:RefOrder>
  </b:Source>
  <b:Source>
    <b:Tag>3GP191</b:Tag>
    <b:SourceType>Report</b:SourceType>
    <b:Guid>{41194C7A-893F-4087-B7D8-D251A9DD7C18}</b:Guid>
    <b:Author>
      <b:Author>
        <b:NameList>
          <b:Person>
            <b:Last>3GPP</b:Last>
          </b:Person>
        </b:NameList>
      </b:Author>
    </b:Author>
    <b:Title>R2-1902494 LS response to SA2 on unicast, groupcast and broadcast in NR sidelink</b:Title>
    <b:Year>2019</b:Year>
    <b:RefOrder>3</b:RefOrder>
  </b:Source>
  <b:Source>
    <b:Tag>ETS141</b:Tag>
    <b:SourceType>Report</b:SourceType>
    <b:Guid>{F532FF94-E2DD-424F-805A-BCDA589A0371}</b:Guid>
    <b:Author>
      <b:Author>
        <b:NameList>
          <b:Person>
            <b:Last>ETSI</b:Last>
          </b:Person>
        </b:NameList>
      </b:Author>
    </b:Author>
    <b:Title>EN 302 895 Local Dynamic Map</b:Title>
    <b:Year>2014</b:Year>
    <b:RefOrder>4</b:RefOrder>
  </b:Source>
  <b:Source>
    <b:Tag>ETS14</b:Tag>
    <b:SourceType>Report</b:SourceType>
    <b:Guid>{7277DEEF-0B4D-44BA-A9FA-AD4E65AD7856}</b:Guid>
    <b:Author>
      <b:Author>
        <b:NameList>
          <b:Person>
            <b:Last>ETSI</b:Last>
          </b:Person>
        </b:NameList>
      </b:Author>
    </b:Author>
    <b:Title>EN 302 637-2 Specification of Cooperative Awareness Basic Service</b:Title>
    <b:Year>2014</b:Year>
    <b:RefOrder>5</b:RefOrder>
  </b:Source>
</b:Sourc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www.w3.org/XML/1998/namespace"/>
    <ds:schemaRef ds:uri="http://purl.org/dc/elements/1.1/"/>
    <ds:schemaRef ds:uri="3b34c8f0-1ef5-4d1e-bb66-517ce7fe7356"/>
    <ds:schemaRef ds:uri="http://schemas.microsoft.com/office/infopath/2007/PartnerControls"/>
    <ds:schemaRef ds:uri="83f22d2f-d16e-4be6-ad4f-29fa0b067c3c"/>
    <ds:schemaRef ds:uri="http://purl.org/dc/dcmitype/"/>
    <ds:schemaRef ds:uri="http://schemas.microsoft.com/office/2006/documentManagement/types"/>
    <ds:schemaRef ds:uri="http://schemas.microsoft.com/office/2006/metadata/properties"/>
    <ds:schemaRef ds:uri="http://purl.org/dc/terms/"/>
    <ds:schemaRef ds:uri="http://schemas.openxmlformats.org/package/2006/metadata/core-properties"/>
    <ds:schemaRef ds:uri="a3840f4f-04be-43d1-b2ef-6ff1382503c7"/>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E15162D1-8B1F-4F68-ACC8-6182E1B24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78</TotalTime>
  <Pages>3</Pages>
  <Words>1103</Words>
  <Characters>5928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Jakob Buthler</cp:lastModifiedBy>
  <cp:revision>6</cp:revision>
  <dcterms:created xsi:type="dcterms:W3CDTF">2019-05-01T13:27:00Z</dcterms:created>
  <dcterms:modified xsi:type="dcterms:W3CDTF">2019-05-02T20:18:00Z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395cb1a4-6b85-4a5a-a1c6-857b563597bb</vt:lpwstr>
  </property>
</Properties>
</file>